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74" w:rsidRDefault="004D3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FreeSerif" w:eastAsia="FreeSerif" w:hAnsi="FreeSerif" w:cs="FreeSerif"/>
          <w:b/>
          <w:color w:val="000000"/>
          <w:sz w:val="22"/>
          <w:szCs w:val="22"/>
          <w:highlight w:val="white"/>
        </w:rPr>
      </w:pPr>
      <w:bookmarkStart w:id="0" w:name="_GoBack"/>
      <w:bookmarkEnd w:id="0"/>
      <w:r>
        <w:rPr>
          <w:rFonts w:ascii="FreeSerif" w:eastAsia="FreeSerif" w:hAnsi="FreeSerif" w:cs="FreeSerif"/>
          <w:b/>
          <w:color w:val="000000"/>
          <w:sz w:val="22"/>
          <w:szCs w:val="22"/>
          <w:highlight w:val="white"/>
        </w:rPr>
        <w:t>Apêndice II – MODELO PARA RELATÓRIO DE ATIVIDADES ACADÊMICAS</w:t>
      </w:r>
    </w:p>
    <w:p w:rsidR="00F91974" w:rsidRDefault="00F919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FreeSerif" w:eastAsia="FreeSerif" w:hAnsi="FreeSerif" w:cs="FreeSerif"/>
          <w:color w:val="000000"/>
          <w:sz w:val="22"/>
          <w:szCs w:val="22"/>
          <w:highlight w:val="white"/>
        </w:rPr>
      </w:pPr>
    </w:p>
    <w:p w:rsidR="00F91974" w:rsidRDefault="004D3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eeSerif" w:eastAsia="FreeSerif" w:hAnsi="FreeSerif" w:cs="FreeSerif"/>
          <w:color w:val="000000"/>
          <w:sz w:val="22"/>
          <w:szCs w:val="22"/>
          <w:highlight w:val="white"/>
        </w:rPr>
      </w:pPr>
      <w:r>
        <w:rPr>
          <w:rFonts w:ascii="FreeSerif" w:eastAsia="FreeSerif" w:hAnsi="FreeSerif" w:cs="FreeSerif"/>
          <w:color w:val="000000"/>
          <w:sz w:val="22"/>
          <w:szCs w:val="22"/>
          <w:highlight w:val="white"/>
        </w:rPr>
        <w:tab/>
        <w:t xml:space="preserve">O Relatório de Atividades Acadêmicas deve possuir tamanho máximo de </w:t>
      </w:r>
      <w:r>
        <w:rPr>
          <w:rFonts w:ascii="FreeSerif" w:eastAsia="FreeSerif" w:hAnsi="FreeSerif" w:cs="FreeSerif"/>
          <w:sz w:val="22"/>
          <w:szCs w:val="22"/>
          <w:highlight w:val="white"/>
        </w:rPr>
        <w:t>4</w:t>
      </w:r>
      <w:r>
        <w:rPr>
          <w:rFonts w:ascii="FreeSerif" w:eastAsia="FreeSerif" w:hAnsi="FreeSerif" w:cs="FreeSerif"/>
          <w:color w:val="000000"/>
          <w:sz w:val="22"/>
          <w:szCs w:val="22"/>
          <w:highlight w:val="white"/>
        </w:rPr>
        <w:t xml:space="preserve"> páginas</w:t>
      </w:r>
      <w:r>
        <w:rPr>
          <w:rFonts w:ascii="FreeSerif" w:eastAsia="FreeSerif" w:hAnsi="FreeSerif" w:cs="FreeSerif"/>
          <w:sz w:val="22"/>
          <w:szCs w:val="22"/>
          <w:highlight w:val="white"/>
        </w:rPr>
        <w:t>.</w:t>
      </w:r>
      <w:r>
        <w:rPr>
          <w:rFonts w:ascii="FreeSerif" w:eastAsia="FreeSerif" w:hAnsi="FreeSerif" w:cs="FreeSerif"/>
          <w:color w:val="000000"/>
          <w:sz w:val="22"/>
          <w:szCs w:val="22"/>
          <w:highlight w:val="white"/>
        </w:rPr>
        <w:t xml:space="preserve"> </w:t>
      </w:r>
      <w:r>
        <w:rPr>
          <w:rFonts w:ascii="FreeSerif" w:eastAsia="FreeSerif" w:hAnsi="FreeSerif" w:cs="FreeSerif"/>
          <w:sz w:val="22"/>
          <w:szCs w:val="22"/>
          <w:highlight w:val="white"/>
        </w:rPr>
        <w:t>D</w:t>
      </w:r>
      <w:r>
        <w:rPr>
          <w:rFonts w:ascii="FreeSerif" w:eastAsia="FreeSerif" w:hAnsi="FreeSerif" w:cs="FreeSerif"/>
          <w:color w:val="000000"/>
          <w:sz w:val="22"/>
          <w:szCs w:val="22"/>
          <w:highlight w:val="white"/>
        </w:rPr>
        <w:t>ocumentos fora do padrão est</w:t>
      </w:r>
      <w:r>
        <w:rPr>
          <w:rFonts w:ascii="FreeSerif" w:eastAsia="FreeSerif" w:hAnsi="FreeSerif" w:cs="FreeSerif"/>
          <w:sz w:val="22"/>
          <w:szCs w:val="22"/>
          <w:highlight w:val="white"/>
        </w:rPr>
        <w:t>ipulado por este edital serão desconsiderados</w:t>
      </w:r>
      <w:r>
        <w:rPr>
          <w:rFonts w:ascii="FreeSerif" w:eastAsia="FreeSerif" w:hAnsi="FreeSerif" w:cs="FreeSerif"/>
          <w:color w:val="000000"/>
          <w:sz w:val="22"/>
          <w:szCs w:val="22"/>
          <w:highlight w:val="white"/>
        </w:rPr>
        <w:t xml:space="preserve">. O </w:t>
      </w:r>
      <w:r>
        <w:rPr>
          <w:rFonts w:ascii="FreeSerif" w:eastAsia="FreeSerif" w:hAnsi="FreeSerif" w:cs="FreeSerif"/>
          <w:sz w:val="22"/>
          <w:szCs w:val="22"/>
          <w:highlight w:val="white"/>
        </w:rPr>
        <w:t>texto</w:t>
      </w:r>
      <w:r>
        <w:rPr>
          <w:rFonts w:ascii="FreeSerif" w:eastAsia="FreeSerif" w:hAnsi="FreeSerif" w:cs="FreeSerif"/>
          <w:color w:val="000000"/>
          <w:sz w:val="22"/>
          <w:szCs w:val="22"/>
          <w:highlight w:val="white"/>
        </w:rPr>
        <w:t xml:space="preserve"> deve ser redigido em fonte </w:t>
      </w:r>
      <w:r>
        <w:rPr>
          <w:rFonts w:ascii="FreeSerif" w:eastAsia="FreeSerif" w:hAnsi="FreeSerif" w:cs="FreeSerif"/>
          <w:i/>
          <w:color w:val="000000"/>
          <w:sz w:val="22"/>
          <w:szCs w:val="22"/>
          <w:highlight w:val="white"/>
        </w:rPr>
        <w:t>Times New Roman</w:t>
      </w:r>
      <w:r>
        <w:rPr>
          <w:rFonts w:ascii="FreeSerif" w:eastAsia="FreeSerif" w:hAnsi="FreeSerif" w:cs="FreeSerif"/>
          <w:color w:val="000000"/>
          <w:sz w:val="22"/>
          <w:szCs w:val="22"/>
          <w:highlight w:val="white"/>
        </w:rPr>
        <w:t>, tamanho 12, espaço simples entre linhas, margens de 2 cm, contendo:</w:t>
      </w:r>
    </w:p>
    <w:p w:rsidR="00F91974" w:rsidRDefault="00F919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FreeSerif" w:eastAsia="FreeSerif" w:hAnsi="FreeSerif" w:cs="FreeSerif"/>
          <w:color w:val="000000"/>
          <w:sz w:val="22"/>
          <w:szCs w:val="22"/>
          <w:highlight w:val="white"/>
        </w:rPr>
      </w:pPr>
    </w:p>
    <w:p w:rsidR="00F91974" w:rsidRDefault="004D3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eeSerif" w:eastAsia="FreeSerif" w:hAnsi="FreeSerif" w:cs="FreeSerif"/>
          <w:color w:val="000000"/>
          <w:sz w:val="22"/>
          <w:szCs w:val="22"/>
        </w:rPr>
      </w:pPr>
      <w:r>
        <w:rPr>
          <w:rFonts w:ascii="FreeSerif" w:eastAsia="FreeSerif" w:hAnsi="FreeSerif" w:cs="FreeSerif"/>
          <w:b/>
          <w:color w:val="000000"/>
          <w:sz w:val="22"/>
          <w:szCs w:val="22"/>
        </w:rPr>
        <w:t>Nome:</w:t>
      </w:r>
      <w:r>
        <w:rPr>
          <w:rFonts w:ascii="FreeSerif" w:eastAsia="FreeSerif" w:hAnsi="FreeSerif" w:cs="FreeSerif"/>
          <w:b/>
          <w:color w:val="000000"/>
          <w:sz w:val="22"/>
          <w:szCs w:val="22"/>
        </w:rPr>
        <w:tab/>
      </w:r>
      <w:r>
        <w:rPr>
          <w:rFonts w:ascii="FreeSerif" w:eastAsia="FreeSerif" w:hAnsi="FreeSerif" w:cs="FreeSerif"/>
          <w:b/>
          <w:color w:val="000000"/>
          <w:sz w:val="22"/>
          <w:szCs w:val="22"/>
        </w:rPr>
        <w:tab/>
      </w:r>
      <w:r>
        <w:rPr>
          <w:rFonts w:ascii="FreeSerif" w:eastAsia="FreeSerif" w:hAnsi="FreeSerif" w:cs="FreeSerif"/>
          <w:b/>
          <w:color w:val="000000"/>
          <w:sz w:val="22"/>
          <w:szCs w:val="22"/>
        </w:rPr>
        <w:tab/>
      </w:r>
      <w:r>
        <w:rPr>
          <w:rFonts w:ascii="FreeSerif" w:eastAsia="FreeSerif" w:hAnsi="FreeSerif" w:cs="FreeSerif"/>
          <w:b/>
          <w:color w:val="000000"/>
          <w:sz w:val="22"/>
          <w:szCs w:val="22"/>
        </w:rPr>
        <w:tab/>
        <w:t>Nível (Mestrado/</w:t>
      </w:r>
      <w:proofErr w:type="spellStart"/>
      <w:r>
        <w:rPr>
          <w:rFonts w:ascii="FreeSerif" w:eastAsia="FreeSerif" w:hAnsi="FreeSerif" w:cs="FreeSerif"/>
          <w:b/>
          <w:color w:val="000000"/>
          <w:sz w:val="22"/>
          <w:szCs w:val="22"/>
        </w:rPr>
        <w:t>Dourorado</w:t>
      </w:r>
      <w:proofErr w:type="spellEnd"/>
      <w:r>
        <w:rPr>
          <w:rFonts w:ascii="FreeSerif" w:eastAsia="FreeSerif" w:hAnsi="FreeSerif" w:cs="FreeSerif"/>
          <w:b/>
          <w:color w:val="000000"/>
          <w:sz w:val="22"/>
          <w:szCs w:val="22"/>
        </w:rPr>
        <w:t>):</w:t>
      </w:r>
      <w:r>
        <w:rPr>
          <w:rFonts w:ascii="FreeSerif" w:eastAsia="FreeSerif" w:hAnsi="FreeSerif" w:cs="FreeSerif"/>
          <w:color w:val="000000"/>
          <w:sz w:val="22"/>
          <w:szCs w:val="22"/>
        </w:rPr>
        <w:t xml:space="preserve">                    </w:t>
      </w:r>
      <w:r>
        <w:rPr>
          <w:rFonts w:ascii="FreeSerif" w:eastAsia="FreeSerif" w:hAnsi="FreeSerif" w:cs="FreeSerif"/>
          <w:b/>
          <w:sz w:val="22"/>
          <w:szCs w:val="22"/>
        </w:rPr>
        <w:t>Ano de ingresso:</w:t>
      </w:r>
    </w:p>
    <w:p w:rsidR="00F91974" w:rsidRDefault="004D3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eeSerif" w:eastAsia="FreeSerif" w:hAnsi="FreeSerif" w:cs="FreeSerif"/>
          <w:b/>
          <w:color w:val="000000"/>
          <w:sz w:val="22"/>
          <w:szCs w:val="22"/>
        </w:rPr>
      </w:pPr>
      <w:r>
        <w:rPr>
          <w:rFonts w:ascii="FreeSerif" w:eastAsia="FreeSerif" w:hAnsi="FreeSerif" w:cs="FreeSerif"/>
          <w:b/>
          <w:color w:val="000000"/>
          <w:sz w:val="22"/>
          <w:szCs w:val="22"/>
        </w:rPr>
        <w:t xml:space="preserve">Tempo de recebimento de bolsa </w:t>
      </w:r>
      <w:r>
        <w:rPr>
          <w:rFonts w:ascii="FreeSerif" w:eastAsia="FreeSerif" w:hAnsi="FreeSerif" w:cs="FreeSerif"/>
          <w:color w:val="000000"/>
          <w:sz w:val="22"/>
          <w:szCs w:val="22"/>
        </w:rPr>
        <w:t>(para o nível de curso, em meses, até 01/04/202</w:t>
      </w:r>
      <w:r>
        <w:rPr>
          <w:rFonts w:ascii="FreeSerif" w:eastAsia="FreeSerif" w:hAnsi="FreeSerif" w:cs="FreeSerif"/>
          <w:sz w:val="22"/>
          <w:szCs w:val="22"/>
        </w:rPr>
        <w:t>5</w:t>
      </w:r>
      <w:r>
        <w:rPr>
          <w:rFonts w:ascii="FreeSerif" w:eastAsia="FreeSerif" w:hAnsi="FreeSerif" w:cs="FreeSerif"/>
          <w:color w:val="000000"/>
          <w:sz w:val="22"/>
          <w:szCs w:val="22"/>
        </w:rPr>
        <w:t>)</w:t>
      </w:r>
      <w:r>
        <w:rPr>
          <w:rFonts w:ascii="FreeSerif" w:eastAsia="FreeSerif" w:hAnsi="FreeSerif" w:cs="FreeSerif"/>
          <w:b/>
          <w:color w:val="000000"/>
          <w:sz w:val="22"/>
          <w:szCs w:val="22"/>
        </w:rPr>
        <w:t>:</w:t>
      </w:r>
    </w:p>
    <w:p w:rsidR="00F91974" w:rsidRDefault="00F919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eeSerif" w:eastAsia="FreeSerif" w:hAnsi="FreeSerif" w:cs="FreeSerif"/>
          <w:b/>
          <w:sz w:val="22"/>
          <w:szCs w:val="22"/>
        </w:rPr>
      </w:pPr>
    </w:p>
    <w:p w:rsidR="00F91974" w:rsidRDefault="004D3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eeSerif" w:eastAsia="FreeSerif" w:hAnsi="FreeSerif" w:cs="FreeSerif"/>
          <w:b/>
          <w:sz w:val="22"/>
          <w:szCs w:val="22"/>
        </w:rPr>
      </w:pPr>
      <w:r>
        <w:rPr>
          <w:rFonts w:ascii="FreeSerif" w:eastAsia="FreeSerif" w:hAnsi="FreeSerif" w:cs="FreeSerif"/>
          <w:b/>
          <w:sz w:val="22"/>
          <w:szCs w:val="22"/>
        </w:rPr>
        <w:t>Durante o último ciclo de bolsas (março de 2024 a fevereiro de 2025), pertenci ao seguinte grupo quanto à situação de trabalho e rendimentos:</w:t>
      </w:r>
    </w:p>
    <w:p w:rsidR="00F91974" w:rsidRDefault="004D357B">
      <w:pPr>
        <w:widowControl w:val="0"/>
        <w:ind w:left="425" w:hanging="420"/>
        <w:jc w:val="both"/>
        <w:rPr>
          <w:rFonts w:ascii="FreeSerif" w:eastAsia="FreeSerif" w:hAnsi="FreeSerif" w:cs="FreeSerif"/>
          <w:sz w:val="22"/>
          <w:szCs w:val="22"/>
        </w:rPr>
      </w:pPr>
      <w:proofErr w:type="gramStart"/>
      <w:r>
        <w:rPr>
          <w:rFonts w:ascii="FreeSerif" w:eastAsia="FreeSerif" w:hAnsi="FreeSerif" w:cs="FreeSerif"/>
          <w:sz w:val="22"/>
          <w:szCs w:val="22"/>
        </w:rPr>
        <w:t>(  )</w:t>
      </w:r>
      <w:proofErr w:type="gramEnd"/>
      <w:r>
        <w:rPr>
          <w:rFonts w:ascii="FreeSerif" w:eastAsia="FreeSerif" w:hAnsi="FreeSerif" w:cs="FreeSerif"/>
          <w:sz w:val="22"/>
          <w:szCs w:val="22"/>
        </w:rPr>
        <w:tab/>
        <w:t xml:space="preserve">Grupo A: Estudantes em dedicação integral; que não exercem atividades remuneradas; não possuem outras fontes </w:t>
      </w:r>
      <w:r>
        <w:rPr>
          <w:rFonts w:ascii="FreeSerif" w:eastAsia="FreeSerif" w:hAnsi="FreeSerif" w:cs="FreeSerif"/>
          <w:sz w:val="22"/>
          <w:szCs w:val="22"/>
        </w:rPr>
        <w:t>de renda (por exemplo, fruto de trabalho, participação societária ou outra fonte regular ou esporádica de renda); ou são servidores públicos afastados do exercício do cargo efetivo, sem remuneração;</w:t>
      </w:r>
    </w:p>
    <w:p w:rsidR="00F91974" w:rsidRDefault="004D357B">
      <w:pPr>
        <w:widowControl w:val="0"/>
        <w:ind w:left="425" w:hanging="420"/>
        <w:jc w:val="both"/>
        <w:rPr>
          <w:rFonts w:ascii="FreeSerif" w:eastAsia="FreeSerif" w:hAnsi="FreeSerif" w:cs="FreeSerif"/>
          <w:sz w:val="22"/>
          <w:szCs w:val="22"/>
        </w:rPr>
      </w:pPr>
      <w:proofErr w:type="gramStart"/>
      <w:r>
        <w:rPr>
          <w:rFonts w:ascii="FreeSerif" w:eastAsia="FreeSerif" w:hAnsi="FreeSerif" w:cs="FreeSerif"/>
          <w:sz w:val="22"/>
          <w:szCs w:val="22"/>
        </w:rPr>
        <w:t>(  )</w:t>
      </w:r>
      <w:proofErr w:type="gramEnd"/>
      <w:r>
        <w:rPr>
          <w:rFonts w:ascii="FreeSerif" w:eastAsia="FreeSerif" w:hAnsi="FreeSerif" w:cs="FreeSerif"/>
          <w:sz w:val="22"/>
          <w:szCs w:val="22"/>
        </w:rPr>
        <w:tab/>
        <w:t>Grupo B: Estudantes que exercem atividades remunerad</w:t>
      </w:r>
      <w:r>
        <w:rPr>
          <w:rFonts w:ascii="FreeSerif" w:eastAsia="FreeSerif" w:hAnsi="FreeSerif" w:cs="FreeSerif"/>
          <w:sz w:val="22"/>
          <w:szCs w:val="22"/>
        </w:rPr>
        <w:t xml:space="preserve">as com carga-horária máxima de 20 horas semanais, sendo estas relacionadas aos objetivos da pós-graduação acadêmica </w:t>
      </w:r>
      <w:r>
        <w:rPr>
          <w:rFonts w:ascii="FreeSerif" w:eastAsia="FreeSerif" w:hAnsi="FreeSerif" w:cs="FreeSerif"/>
          <w:i/>
          <w:sz w:val="22"/>
          <w:szCs w:val="22"/>
        </w:rPr>
        <w:t>stricto sensu</w:t>
      </w:r>
      <w:r>
        <w:rPr>
          <w:rFonts w:ascii="FreeSerif" w:eastAsia="FreeSerif" w:hAnsi="FreeSerif" w:cs="FreeSerif"/>
          <w:sz w:val="22"/>
          <w:szCs w:val="22"/>
        </w:rPr>
        <w:t xml:space="preserve"> e do </w:t>
      </w:r>
      <w:proofErr w:type="spellStart"/>
      <w:r>
        <w:rPr>
          <w:rFonts w:ascii="FreeSerif" w:eastAsia="FreeSerif" w:hAnsi="FreeSerif" w:cs="FreeSerif"/>
          <w:sz w:val="22"/>
          <w:szCs w:val="22"/>
        </w:rPr>
        <w:t>PósARQ</w:t>
      </w:r>
      <w:proofErr w:type="spellEnd"/>
      <w:r>
        <w:rPr>
          <w:rFonts w:ascii="FreeSerif" w:eastAsia="FreeSerif" w:hAnsi="FreeSerif" w:cs="FreeSerif"/>
          <w:sz w:val="22"/>
          <w:szCs w:val="22"/>
        </w:rPr>
        <w:t xml:space="preserve"> ou com a área de investigação, incluindo-se servidores públicos em exercício com redução de carga-horária para até</w:t>
      </w:r>
      <w:r>
        <w:rPr>
          <w:rFonts w:ascii="FreeSerif" w:eastAsia="FreeSerif" w:hAnsi="FreeSerif" w:cs="FreeSerif"/>
          <w:sz w:val="22"/>
          <w:szCs w:val="22"/>
        </w:rPr>
        <w:t xml:space="preserve"> 20 horas semanais e redução proporcional de remuneração. </w:t>
      </w:r>
    </w:p>
    <w:p w:rsidR="00F91974" w:rsidRDefault="004D357B">
      <w:pPr>
        <w:widowControl w:val="0"/>
        <w:ind w:left="425" w:hanging="420"/>
        <w:jc w:val="both"/>
        <w:rPr>
          <w:rFonts w:ascii="FreeSerif" w:eastAsia="FreeSerif" w:hAnsi="FreeSerif" w:cs="FreeSerif"/>
          <w:b/>
          <w:sz w:val="22"/>
          <w:szCs w:val="22"/>
        </w:rPr>
      </w:pPr>
      <w:proofErr w:type="gramStart"/>
      <w:r>
        <w:rPr>
          <w:rFonts w:ascii="FreeSerif" w:eastAsia="FreeSerif" w:hAnsi="FreeSerif" w:cs="FreeSerif"/>
          <w:sz w:val="22"/>
          <w:szCs w:val="22"/>
        </w:rPr>
        <w:t>(  )</w:t>
      </w:r>
      <w:proofErr w:type="gramEnd"/>
      <w:r>
        <w:rPr>
          <w:rFonts w:ascii="FreeSerif" w:eastAsia="FreeSerif" w:hAnsi="FreeSerif" w:cs="FreeSerif"/>
          <w:sz w:val="22"/>
          <w:szCs w:val="22"/>
        </w:rPr>
        <w:tab/>
        <w:t>Grupo C: Estudantes que exercem atividades remuneradas com carga-horária superior a 20 horas semanais; ou são servidores públicos afastados do exercício do cargo efetivo, com remuneração; ou p</w:t>
      </w:r>
      <w:r>
        <w:rPr>
          <w:rFonts w:ascii="FreeSerif" w:eastAsia="FreeSerif" w:hAnsi="FreeSerif" w:cs="FreeSerif"/>
          <w:sz w:val="22"/>
          <w:szCs w:val="22"/>
        </w:rPr>
        <w:t xml:space="preserve">ossuem outras fontes de renda não relacionadas aos objetivos da pós-graduação acadêmica </w:t>
      </w:r>
      <w:r>
        <w:rPr>
          <w:rFonts w:ascii="FreeSerif" w:eastAsia="FreeSerif" w:hAnsi="FreeSerif" w:cs="FreeSerif"/>
          <w:i/>
          <w:sz w:val="22"/>
          <w:szCs w:val="22"/>
        </w:rPr>
        <w:t>stricto sensu</w:t>
      </w:r>
      <w:r>
        <w:rPr>
          <w:rFonts w:ascii="FreeSerif" w:eastAsia="FreeSerif" w:hAnsi="FreeSerif" w:cs="FreeSerif"/>
          <w:sz w:val="22"/>
          <w:szCs w:val="22"/>
        </w:rPr>
        <w:t xml:space="preserve"> e do </w:t>
      </w:r>
      <w:proofErr w:type="spellStart"/>
      <w:r>
        <w:rPr>
          <w:rFonts w:ascii="FreeSerif" w:eastAsia="FreeSerif" w:hAnsi="FreeSerif" w:cs="FreeSerif"/>
          <w:sz w:val="22"/>
          <w:szCs w:val="22"/>
        </w:rPr>
        <w:t>PósARQ</w:t>
      </w:r>
      <w:proofErr w:type="spellEnd"/>
      <w:r>
        <w:rPr>
          <w:rFonts w:ascii="FreeSerif" w:eastAsia="FreeSerif" w:hAnsi="FreeSerif" w:cs="FreeSerif"/>
          <w:sz w:val="22"/>
          <w:szCs w:val="22"/>
        </w:rPr>
        <w:t xml:space="preserve"> ou com a área de investigação.</w:t>
      </w:r>
    </w:p>
    <w:p w:rsidR="00F91974" w:rsidRDefault="00F919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FreeSerif" w:eastAsia="FreeSerif" w:hAnsi="FreeSerif" w:cs="FreeSerif"/>
          <w:color w:val="000000"/>
          <w:sz w:val="22"/>
          <w:szCs w:val="22"/>
        </w:rPr>
      </w:pPr>
    </w:p>
    <w:p w:rsidR="00F91974" w:rsidRDefault="004D3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eeSerif" w:eastAsia="FreeSerif" w:hAnsi="FreeSerif" w:cs="FreeSerif"/>
          <w:color w:val="000000"/>
          <w:sz w:val="22"/>
          <w:szCs w:val="22"/>
          <w:highlight w:val="white"/>
        </w:rPr>
      </w:pPr>
      <w:r>
        <w:rPr>
          <w:rFonts w:ascii="FreeSerif" w:eastAsia="FreeSerif" w:hAnsi="FreeSerif" w:cs="FreeSerif"/>
          <w:color w:val="000000"/>
          <w:sz w:val="22"/>
          <w:szCs w:val="22"/>
        </w:rPr>
        <w:t xml:space="preserve">1. </w:t>
      </w:r>
      <w:r>
        <w:rPr>
          <w:rFonts w:ascii="FreeSerif" w:eastAsia="FreeSerif" w:hAnsi="FreeSerif" w:cs="FreeSerif"/>
          <w:b/>
          <w:color w:val="000000"/>
          <w:sz w:val="22"/>
          <w:szCs w:val="22"/>
        </w:rPr>
        <w:t>Atividades relacionadas ao desenvolvimento da pesquisa de dissertação ou tese:</w:t>
      </w:r>
      <w:r>
        <w:rPr>
          <w:rFonts w:ascii="FreeSerif" w:eastAsia="FreeSerif" w:hAnsi="FreeSerif" w:cs="FreeSerif"/>
          <w:color w:val="000000"/>
          <w:sz w:val="22"/>
          <w:szCs w:val="22"/>
        </w:rPr>
        <w:t xml:space="preserve"> descrição do estágio de desenvolvimento em que se encontra a dissertação ou a tese, com o registro das </w:t>
      </w:r>
      <w:r>
        <w:rPr>
          <w:rFonts w:ascii="FreeSerif" w:eastAsia="FreeSerif" w:hAnsi="FreeSerif" w:cs="FreeSerif"/>
          <w:color w:val="000000"/>
          <w:sz w:val="22"/>
          <w:szCs w:val="22"/>
          <w:highlight w:val="white"/>
        </w:rPr>
        <w:t>atividades realizadas até o momento (revisão bibliográfica, coleta de dados, análise de dados, etc.) e o cronograma daquelas a serem cumpridas até a fin</w:t>
      </w:r>
      <w:r>
        <w:rPr>
          <w:rFonts w:ascii="FreeSerif" w:eastAsia="FreeSerif" w:hAnsi="FreeSerif" w:cs="FreeSerif"/>
          <w:color w:val="000000"/>
          <w:sz w:val="22"/>
          <w:szCs w:val="22"/>
          <w:highlight w:val="white"/>
        </w:rPr>
        <w:t>alização da pesquisa. Neste item também deve ser relatada a previsão do exame de qualificação ou da defesa de dissertação ou tese. (</w:t>
      </w:r>
      <w:r>
        <w:rPr>
          <w:rFonts w:ascii="FreeSerif" w:eastAsia="FreeSerif" w:hAnsi="FreeSerif" w:cs="FreeSerif"/>
          <w:sz w:val="22"/>
          <w:szCs w:val="22"/>
          <w:highlight w:val="white"/>
        </w:rPr>
        <w:t>4,5</w:t>
      </w:r>
      <w:r>
        <w:rPr>
          <w:rFonts w:ascii="FreeSerif" w:eastAsia="FreeSerif" w:hAnsi="FreeSerif" w:cs="FreeSerif"/>
          <w:color w:val="000000"/>
          <w:sz w:val="22"/>
          <w:szCs w:val="22"/>
          <w:highlight w:val="white"/>
        </w:rPr>
        <w:t xml:space="preserve"> pontos)</w:t>
      </w:r>
    </w:p>
    <w:p w:rsidR="00F91974" w:rsidRDefault="00F919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eeSerif" w:eastAsia="FreeSerif" w:hAnsi="FreeSerif" w:cs="FreeSerif"/>
          <w:color w:val="000000"/>
          <w:sz w:val="22"/>
          <w:szCs w:val="22"/>
          <w:highlight w:val="white"/>
        </w:rPr>
      </w:pPr>
    </w:p>
    <w:p w:rsidR="00F91974" w:rsidRDefault="004D3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eeSerif" w:eastAsia="FreeSerif" w:hAnsi="FreeSerif" w:cs="FreeSerif"/>
          <w:color w:val="000000"/>
          <w:sz w:val="22"/>
          <w:szCs w:val="22"/>
          <w:highlight w:val="white"/>
        </w:rPr>
      </w:pPr>
      <w:r>
        <w:rPr>
          <w:rFonts w:ascii="FreeSerif" w:eastAsia="FreeSerif" w:hAnsi="FreeSerif" w:cs="FreeSerif"/>
          <w:color w:val="000000"/>
          <w:sz w:val="22"/>
          <w:szCs w:val="22"/>
          <w:highlight w:val="white"/>
        </w:rPr>
        <w:t xml:space="preserve">2. </w:t>
      </w:r>
      <w:r>
        <w:rPr>
          <w:rFonts w:ascii="FreeSerif" w:eastAsia="FreeSerif" w:hAnsi="FreeSerif" w:cs="FreeSerif"/>
          <w:b/>
          <w:color w:val="000000"/>
          <w:sz w:val="22"/>
          <w:szCs w:val="22"/>
          <w:highlight w:val="white"/>
        </w:rPr>
        <w:t xml:space="preserve">Atividades acadêmicas realizadas durante o curso, </w:t>
      </w:r>
      <w:r>
        <w:rPr>
          <w:rFonts w:ascii="FreeSerif" w:eastAsia="FreeSerif" w:hAnsi="FreeSerif" w:cs="FreeSerif"/>
          <w:color w:val="000000"/>
          <w:sz w:val="22"/>
          <w:szCs w:val="22"/>
          <w:highlight w:val="white"/>
        </w:rPr>
        <w:t>tais como (mas não limitado a), participação em eventos (s</w:t>
      </w:r>
      <w:r>
        <w:rPr>
          <w:rFonts w:ascii="FreeSerif" w:eastAsia="FreeSerif" w:hAnsi="FreeSerif" w:cs="FreeSerif"/>
          <w:color w:val="000000"/>
          <w:sz w:val="22"/>
          <w:szCs w:val="22"/>
          <w:highlight w:val="white"/>
        </w:rPr>
        <w:t>eja como organizador</w:t>
      </w:r>
      <w:r>
        <w:rPr>
          <w:rFonts w:ascii="FreeSerif" w:eastAsia="FreeSerif" w:hAnsi="FreeSerif" w:cs="FreeSerif"/>
          <w:sz w:val="22"/>
          <w:szCs w:val="22"/>
          <w:highlight w:val="white"/>
        </w:rPr>
        <w:t xml:space="preserve"> ou</w:t>
      </w:r>
      <w:r>
        <w:rPr>
          <w:rFonts w:ascii="FreeSerif" w:eastAsia="FreeSerif" w:hAnsi="FreeSerif" w:cs="FreeSerif"/>
          <w:color w:val="000000"/>
          <w:sz w:val="22"/>
          <w:szCs w:val="22"/>
          <w:highlight w:val="white"/>
        </w:rPr>
        <w:t xml:space="preserve"> espectador), participaç</w:t>
      </w:r>
      <w:r>
        <w:rPr>
          <w:rFonts w:ascii="FreeSerif" w:eastAsia="FreeSerif" w:hAnsi="FreeSerif" w:cs="FreeSerif"/>
          <w:sz w:val="22"/>
          <w:szCs w:val="22"/>
          <w:highlight w:val="white"/>
        </w:rPr>
        <w:t xml:space="preserve">ão em projetos de extensão, </w:t>
      </w:r>
      <w:r>
        <w:rPr>
          <w:rFonts w:ascii="FreeSerif" w:eastAsia="FreeSerif" w:hAnsi="FreeSerif" w:cs="FreeSerif"/>
          <w:color w:val="000000"/>
          <w:sz w:val="22"/>
          <w:szCs w:val="22"/>
          <w:highlight w:val="white"/>
        </w:rPr>
        <w:t>participação como avaliador em bancas de defesa e qualificações, cursos realizados (como espectador ou ministrante), suporte na pesquisa de outros(as) estudantes de mestrado, doutor</w:t>
      </w:r>
      <w:r>
        <w:rPr>
          <w:rFonts w:ascii="FreeSerif" w:eastAsia="FreeSerif" w:hAnsi="FreeSerif" w:cs="FreeSerif"/>
          <w:color w:val="000000"/>
          <w:sz w:val="22"/>
          <w:szCs w:val="22"/>
          <w:highlight w:val="white"/>
        </w:rPr>
        <w:t xml:space="preserve">ado e iniciação científica, demais atividades em laboratórios e grupos de pesquisa (citar relatórios, quando pertinente). Neste item também deve ser descrita a situação sobre as disciplinas cursadas (quantos créditos foram cursados, quantos ainda faltam). </w:t>
      </w:r>
      <w:r>
        <w:rPr>
          <w:rFonts w:ascii="FreeSerif" w:eastAsia="FreeSerif" w:hAnsi="FreeSerif" w:cs="FreeSerif"/>
          <w:sz w:val="22"/>
          <w:szCs w:val="22"/>
          <w:highlight w:val="white"/>
        </w:rPr>
        <w:t>(3,5 pontos)</w:t>
      </w:r>
    </w:p>
    <w:p w:rsidR="00F91974" w:rsidRDefault="00F919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eeSerif" w:eastAsia="FreeSerif" w:hAnsi="FreeSerif" w:cs="FreeSerif"/>
          <w:color w:val="000000"/>
          <w:sz w:val="22"/>
          <w:szCs w:val="22"/>
          <w:highlight w:val="white"/>
        </w:rPr>
      </w:pPr>
    </w:p>
    <w:p w:rsidR="00F91974" w:rsidRDefault="004D3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eeSerif" w:eastAsia="FreeSerif" w:hAnsi="FreeSerif" w:cs="FreeSerif"/>
          <w:color w:val="000000"/>
          <w:sz w:val="22"/>
          <w:szCs w:val="22"/>
          <w:highlight w:val="white"/>
        </w:rPr>
      </w:pPr>
      <w:r>
        <w:rPr>
          <w:rFonts w:ascii="FreeSerif" w:eastAsia="FreeSerif" w:hAnsi="FreeSerif" w:cs="FreeSerif"/>
          <w:color w:val="000000"/>
          <w:sz w:val="22"/>
          <w:szCs w:val="22"/>
          <w:highlight w:val="white"/>
        </w:rPr>
        <w:t>3.</w:t>
      </w:r>
      <w:r>
        <w:rPr>
          <w:rFonts w:ascii="FreeSerif" w:eastAsia="FreeSerif" w:hAnsi="FreeSerif" w:cs="FreeSerif"/>
          <w:b/>
          <w:color w:val="000000"/>
          <w:sz w:val="22"/>
          <w:szCs w:val="22"/>
          <w:highlight w:val="white"/>
        </w:rPr>
        <w:t xml:space="preserve"> Outras atividades relevantes </w:t>
      </w:r>
      <w:r>
        <w:rPr>
          <w:rFonts w:ascii="FreeSerif" w:eastAsia="FreeSerif" w:hAnsi="FreeSerif" w:cs="FreeSerif"/>
          <w:b/>
          <w:sz w:val="22"/>
          <w:szCs w:val="22"/>
          <w:highlight w:val="white"/>
        </w:rPr>
        <w:t>realizadas durante o curso e</w:t>
      </w:r>
      <w:r>
        <w:rPr>
          <w:rFonts w:ascii="FreeSerif" w:eastAsia="FreeSerif" w:hAnsi="FreeSerif" w:cs="FreeSerif"/>
          <w:b/>
          <w:color w:val="000000"/>
          <w:sz w:val="22"/>
          <w:szCs w:val="22"/>
          <w:highlight w:val="white"/>
        </w:rPr>
        <w:t xml:space="preserve"> v</w:t>
      </w:r>
      <w:r>
        <w:rPr>
          <w:rFonts w:ascii="FreeSerif" w:eastAsia="FreeSerif" w:hAnsi="FreeSerif" w:cs="FreeSerif"/>
          <w:b/>
          <w:sz w:val="22"/>
          <w:szCs w:val="22"/>
          <w:highlight w:val="white"/>
        </w:rPr>
        <w:t xml:space="preserve">inculadas às áreas de atuação do </w:t>
      </w:r>
      <w:proofErr w:type="spellStart"/>
      <w:r>
        <w:rPr>
          <w:rFonts w:ascii="FreeSerif" w:eastAsia="FreeSerif" w:hAnsi="FreeSerif" w:cs="FreeSerif"/>
          <w:b/>
          <w:sz w:val="22"/>
          <w:szCs w:val="22"/>
          <w:highlight w:val="white"/>
        </w:rPr>
        <w:t>PósARQ</w:t>
      </w:r>
      <w:proofErr w:type="spellEnd"/>
      <w:r>
        <w:rPr>
          <w:rFonts w:ascii="FreeSerif" w:eastAsia="FreeSerif" w:hAnsi="FreeSerif" w:cs="FreeSerif"/>
          <w:b/>
          <w:color w:val="000000"/>
          <w:sz w:val="22"/>
          <w:szCs w:val="22"/>
          <w:highlight w:val="white"/>
        </w:rPr>
        <w:t>:</w:t>
      </w:r>
      <w:r>
        <w:rPr>
          <w:rFonts w:ascii="FreeSerif" w:eastAsia="FreeSerif" w:hAnsi="FreeSerif" w:cs="FreeSerif"/>
          <w:color w:val="000000"/>
          <w:sz w:val="22"/>
          <w:szCs w:val="22"/>
          <w:highlight w:val="white"/>
        </w:rPr>
        <w:t xml:space="preserve"> descrição de outras atividades que o(a) estudante julgar importantes, bem como atividades profissionais ou de outra natureza. </w:t>
      </w:r>
      <w:r>
        <w:rPr>
          <w:rFonts w:ascii="FreeSerif" w:eastAsia="FreeSerif" w:hAnsi="FreeSerif" w:cs="FreeSerif"/>
          <w:sz w:val="22"/>
          <w:szCs w:val="22"/>
          <w:highlight w:val="white"/>
        </w:rPr>
        <w:t>Este item inc</w:t>
      </w:r>
      <w:r>
        <w:rPr>
          <w:rFonts w:ascii="FreeSerif" w:eastAsia="FreeSerif" w:hAnsi="FreeSerif" w:cs="FreeSerif"/>
          <w:sz w:val="22"/>
          <w:szCs w:val="22"/>
          <w:highlight w:val="white"/>
        </w:rPr>
        <w:t xml:space="preserve">lui participação em atividades de apoio ao </w:t>
      </w:r>
      <w:proofErr w:type="spellStart"/>
      <w:r>
        <w:rPr>
          <w:rFonts w:ascii="FreeSerif" w:eastAsia="FreeSerif" w:hAnsi="FreeSerif" w:cs="FreeSerif"/>
          <w:sz w:val="22"/>
          <w:szCs w:val="22"/>
          <w:highlight w:val="white"/>
        </w:rPr>
        <w:t>PósARQ</w:t>
      </w:r>
      <w:proofErr w:type="spellEnd"/>
      <w:r>
        <w:rPr>
          <w:rFonts w:ascii="FreeSerif" w:eastAsia="FreeSerif" w:hAnsi="FreeSerif" w:cs="FreeSerif"/>
          <w:sz w:val="22"/>
          <w:szCs w:val="22"/>
          <w:highlight w:val="white"/>
        </w:rPr>
        <w:t xml:space="preserve"> como, por exemplo, representação discente em colegiado, participação em comissões, participação na organização de eventos do </w:t>
      </w:r>
      <w:proofErr w:type="spellStart"/>
      <w:r>
        <w:rPr>
          <w:rFonts w:ascii="FreeSerif" w:eastAsia="FreeSerif" w:hAnsi="FreeSerif" w:cs="FreeSerif"/>
          <w:sz w:val="22"/>
          <w:szCs w:val="22"/>
          <w:highlight w:val="white"/>
        </w:rPr>
        <w:t>PósARQ</w:t>
      </w:r>
      <w:proofErr w:type="spellEnd"/>
      <w:r>
        <w:rPr>
          <w:rFonts w:ascii="FreeSerif" w:eastAsia="FreeSerif" w:hAnsi="FreeSerif" w:cs="FreeSerif"/>
          <w:sz w:val="22"/>
          <w:szCs w:val="22"/>
          <w:highlight w:val="white"/>
        </w:rPr>
        <w:t xml:space="preserve"> ou outros. (2 pontos)</w:t>
      </w:r>
    </w:p>
    <w:p w:rsidR="00F91974" w:rsidRDefault="00F919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eeSerif" w:eastAsia="FreeSerif" w:hAnsi="FreeSerif" w:cs="FreeSerif"/>
          <w:color w:val="000000"/>
          <w:sz w:val="22"/>
          <w:szCs w:val="22"/>
          <w:highlight w:val="white"/>
        </w:rPr>
      </w:pPr>
    </w:p>
    <w:p w:rsidR="00F91974" w:rsidRDefault="004D35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FreeSerif" w:eastAsia="FreeSerif" w:hAnsi="FreeSerif" w:cs="FreeSerif"/>
          <w:b/>
          <w:color w:val="000000"/>
          <w:sz w:val="22"/>
          <w:szCs w:val="22"/>
          <w:highlight w:val="white"/>
        </w:rPr>
      </w:pPr>
      <w:r>
        <w:rPr>
          <w:rFonts w:ascii="FreeSerif" w:eastAsia="FreeSerif" w:hAnsi="FreeSerif" w:cs="FreeSerif"/>
          <w:b/>
          <w:color w:val="000000"/>
          <w:sz w:val="22"/>
          <w:szCs w:val="22"/>
          <w:highlight w:val="white"/>
        </w:rPr>
        <w:t xml:space="preserve">Data e Assinatura do(a) </w:t>
      </w:r>
      <w:r>
        <w:rPr>
          <w:rFonts w:ascii="FreeSerif" w:eastAsia="FreeSerif" w:hAnsi="FreeSerif" w:cs="FreeSerif"/>
          <w:b/>
          <w:sz w:val="22"/>
          <w:szCs w:val="22"/>
          <w:highlight w:val="white"/>
        </w:rPr>
        <w:t>candidato(a):</w:t>
      </w:r>
    </w:p>
    <w:p w:rsidR="00F91974" w:rsidRDefault="00F91974">
      <w:pPr>
        <w:widowControl w:val="0"/>
        <w:spacing w:line="276" w:lineRule="auto"/>
        <w:jc w:val="both"/>
        <w:rPr>
          <w:rFonts w:ascii="FreeSerif" w:eastAsia="FreeSerif" w:hAnsi="FreeSerif" w:cs="FreeSerif"/>
          <w:b/>
          <w:sz w:val="22"/>
          <w:szCs w:val="22"/>
          <w:highlight w:val="white"/>
        </w:rPr>
      </w:pPr>
    </w:p>
    <w:p w:rsidR="00F91974" w:rsidRDefault="00F91974">
      <w:pPr>
        <w:widowControl w:val="0"/>
        <w:spacing w:line="276" w:lineRule="auto"/>
        <w:jc w:val="both"/>
        <w:rPr>
          <w:rFonts w:ascii="FreeSerif" w:eastAsia="FreeSerif" w:hAnsi="FreeSerif" w:cs="FreeSerif"/>
          <w:b/>
          <w:sz w:val="22"/>
          <w:szCs w:val="22"/>
          <w:highlight w:val="white"/>
        </w:rPr>
      </w:pPr>
    </w:p>
    <w:p w:rsidR="00F91974" w:rsidRDefault="00F91974">
      <w:pPr>
        <w:widowControl w:val="0"/>
        <w:spacing w:line="276" w:lineRule="auto"/>
        <w:jc w:val="both"/>
        <w:rPr>
          <w:rFonts w:ascii="FreeSerif" w:eastAsia="FreeSerif" w:hAnsi="FreeSerif" w:cs="FreeSerif"/>
          <w:b/>
          <w:sz w:val="22"/>
          <w:szCs w:val="22"/>
          <w:highlight w:val="white"/>
        </w:rPr>
      </w:pPr>
    </w:p>
    <w:p w:rsidR="00F91974" w:rsidRDefault="00F91974">
      <w:pPr>
        <w:widowControl w:val="0"/>
        <w:spacing w:line="276" w:lineRule="auto"/>
        <w:jc w:val="both"/>
        <w:rPr>
          <w:rFonts w:ascii="FreeSerif" w:eastAsia="FreeSerif" w:hAnsi="FreeSerif" w:cs="FreeSerif"/>
          <w:b/>
          <w:sz w:val="22"/>
          <w:szCs w:val="22"/>
          <w:highlight w:val="white"/>
        </w:rPr>
      </w:pPr>
    </w:p>
    <w:p w:rsidR="00F91974" w:rsidRDefault="004D357B">
      <w:pPr>
        <w:widowControl w:val="0"/>
        <w:spacing w:line="276" w:lineRule="auto"/>
        <w:jc w:val="both"/>
        <w:rPr>
          <w:rFonts w:ascii="FreeSerif" w:eastAsia="FreeSerif" w:hAnsi="FreeSerif" w:cs="FreeSerif"/>
          <w:b/>
          <w:sz w:val="22"/>
          <w:szCs w:val="22"/>
          <w:highlight w:val="white"/>
        </w:rPr>
      </w:pPr>
      <w:r>
        <w:rPr>
          <w:rFonts w:ascii="FreeSerif" w:eastAsia="FreeSerif" w:hAnsi="FreeSerif" w:cs="FreeSerif"/>
          <w:b/>
          <w:sz w:val="22"/>
          <w:szCs w:val="22"/>
          <w:highlight w:val="white"/>
        </w:rPr>
        <w:t>Parecer do(a) orientador(a) em anuência ao relatório:</w:t>
      </w:r>
    </w:p>
    <w:p w:rsidR="00F91974" w:rsidRDefault="00F91974">
      <w:pPr>
        <w:widowControl w:val="0"/>
        <w:spacing w:line="276" w:lineRule="auto"/>
        <w:jc w:val="both"/>
        <w:rPr>
          <w:rFonts w:ascii="FreeSerif" w:eastAsia="FreeSerif" w:hAnsi="FreeSerif" w:cs="FreeSerif"/>
          <w:b/>
          <w:sz w:val="22"/>
          <w:szCs w:val="22"/>
          <w:highlight w:val="white"/>
        </w:rPr>
      </w:pPr>
    </w:p>
    <w:p w:rsidR="00F91974" w:rsidRDefault="00F91974">
      <w:pPr>
        <w:widowControl w:val="0"/>
        <w:spacing w:line="276" w:lineRule="auto"/>
        <w:jc w:val="both"/>
        <w:rPr>
          <w:rFonts w:ascii="FreeSerif" w:eastAsia="FreeSerif" w:hAnsi="FreeSerif" w:cs="FreeSerif"/>
          <w:b/>
          <w:sz w:val="22"/>
          <w:szCs w:val="22"/>
          <w:highlight w:val="white"/>
        </w:rPr>
      </w:pPr>
    </w:p>
    <w:p w:rsidR="00F91974" w:rsidRDefault="00F91974">
      <w:pPr>
        <w:widowControl w:val="0"/>
        <w:spacing w:line="276" w:lineRule="auto"/>
        <w:jc w:val="both"/>
        <w:rPr>
          <w:rFonts w:ascii="FreeSerif" w:eastAsia="FreeSerif" w:hAnsi="FreeSerif" w:cs="FreeSerif"/>
          <w:b/>
          <w:sz w:val="22"/>
          <w:szCs w:val="22"/>
          <w:highlight w:val="white"/>
        </w:rPr>
      </w:pPr>
    </w:p>
    <w:p w:rsidR="00F91974" w:rsidRDefault="00F91974">
      <w:pPr>
        <w:widowControl w:val="0"/>
        <w:spacing w:line="276" w:lineRule="auto"/>
        <w:jc w:val="both"/>
        <w:rPr>
          <w:rFonts w:ascii="FreeSerif" w:eastAsia="FreeSerif" w:hAnsi="FreeSerif" w:cs="FreeSerif"/>
          <w:b/>
          <w:sz w:val="22"/>
          <w:szCs w:val="22"/>
          <w:highlight w:val="white"/>
        </w:rPr>
      </w:pPr>
    </w:p>
    <w:p w:rsidR="00F91974" w:rsidRDefault="004D357B">
      <w:pPr>
        <w:widowControl w:val="0"/>
        <w:spacing w:line="276" w:lineRule="auto"/>
        <w:jc w:val="both"/>
        <w:rPr>
          <w:rFonts w:ascii="FreeSerif" w:eastAsia="FreeSerif" w:hAnsi="FreeSerif" w:cs="FreeSerif"/>
          <w:b/>
          <w:sz w:val="20"/>
          <w:szCs w:val="20"/>
          <w:highlight w:val="white"/>
        </w:rPr>
      </w:pPr>
      <w:r>
        <w:rPr>
          <w:rFonts w:ascii="FreeSerif" w:eastAsia="FreeSerif" w:hAnsi="FreeSerif" w:cs="FreeSerif"/>
          <w:b/>
          <w:sz w:val="22"/>
          <w:szCs w:val="22"/>
          <w:highlight w:val="white"/>
        </w:rPr>
        <w:t>Assinatura do(a) orientador(a):</w:t>
      </w:r>
    </w:p>
    <w:sectPr w:rsidR="00F91974">
      <w:headerReference w:type="default" r:id="rId7"/>
      <w:pgSz w:w="11906" w:h="16838"/>
      <w:pgMar w:top="3435" w:right="1133" w:bottom="566" w:left="1133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7B" w:rsidRDefault="004D357B">
      <w:r>
        <w:separator/>
      </w:r>
    </w:p>
  </w:endnote>
  <w:endnote w:type="continuationSeparator" w:id="0">
    <w:p w:rsidR="004D357B" w:rsidRDefault="004D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7B" w:rsidRDefault="004D357B">
      <w:r>
        <w:separator/>
      </w:r>
    </w:p>
  </w:footnote>
  <w:footnote w:type="continuationSeparator" w:id="0">
    <w:p w:rsidR="004D357B" w:rsidRDefault="004D3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74" w:rsidRDefault="004D357B">
    <w:pPr>
      <w:pStyle w:val="Ttulo1"/>
      <w:rPr>
        <w:b w:val="0"/>
        <w:sz w:val="16"/>
        <w:szCs w:val="16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2728595</wp:posOffset>
          </wp:positionH>
          <wp:positionV relativeFrom="paragraph">
            <wp:posOffset>-475610</wp:posOffset>
          </wp:positionV>
          <wp:extent cx="597535" cy="759460"/>
          <wp:effectExtent l="0" t="0" r="0" b="0"/>
          <wp:wrapSquare wrapText="bothSides" distT="0" distB="0" distL="114935" distR="114935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28" t="-21" r="-28" b="-21"/>
                  <a:stretch>
                    <a:fillRect/>
                  </a:stretch>
                </pic:blipFill>
                <pic:spPr>
                  <a:xfrm>
                    <a:off x="0" y="0"/>
                    <a:ext cx="597535" cy="759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91974" w:rsidRDefault="00F91974">
    <w:pPr>
      <w:pStyle w:val="Ttulo1"/>
      <w:rPr>
        <w:b w:val="0"/>
        <w:sz w:val="16"/>
        <w:szCs w:val="16"/>
      </w:rPr>
    </w:pPr>
  </w:p>
  <w:p w:rsidR="00F91974" w:rsidRDefault="004D357B">
    <w:pPr>
      <w:pStyle w:val="Ttulo1"/>
      <w:rPr>
        <w:b w:val="0"/>
        <w:sz w:val="16"/>
        <w:szCs w:val="16"/>
      </w:rPr>
    </w:pPr>
    <w:r>
      <w:rPr>
        <w:b w:val="0"/>
        <w:sz w:val="16"/>
        <w:szCs w:val="16"/>
      </w:rPr>
      <w:t xml:space="preserve">UNIVERSIDADE FEDERAL </w:t>
    </w:r>
    <w:proofErr w:type="gramStart"/>
    <w:r>
      <w:rPr>
        <w:b w:val="0"/>
        <w:sz w:val="16"/>
        <w:szCs w:val="16"/>
      </w:rPr>
      <w:t>DE  SANTA</w:t>
    </w:r>
    <w:proofErr w:type="gramEnd"/>
    <w:r>
      <w:rPr>
        <w:b w:val="0"/>
        <w:sz w:val="16"/>
        <w:szCs w:val="16"/>
      </w:rPr>
      <w:t xml:space="preserve"> CATARINA - CENTRO TECNOLÓGICO</w:t>
    </w:r>
  </w:p>
  <w:p w:rsidR="00F91974" w:rsidRDefault="004D357B">
    <w:pPr>
      <w:pStyle w:val="Ttulo1"/>
    </w:pPr>
    <w:r>
      <w:rPr>
        <w:b w:val="0"/>
        <w:sz w:val="16"/>
        <w:szCs w:val="16"/>
      </w:rPr>
      <w:t>PROGRAMA DE PÓS-GRADUAÇÃO EM ARQ</w:t>
    </w:r>
    <w:r>
      <w:rPr>
        <w:b w:val="0"/>
        <w:sz w:val="16"/>
        <w:szCs w:val="16"/>
      </w:rPr>
      <w:t>UITETURA E URBANISMO</w:t>
    </w:r>
    <w:r>
      <w:rPr>
        <w:b w:val="0"/>
        <w:sz w:val="18"/>
        <w:szCs w:val="18"/>
      </w:rPr>
      <w:t xml:space="preserve"> </w:t>
    </w:r>
  </w:p>
  <w:p w:rsidR="00F91974" w:rsidRDefault="004D357B">
    <w:pPr>
      <w:pStyle w:val="Ttulo1"/>
      <w:rPr>
        <w:b w:val="0"/>
        <w:sz w:val="14"/>
        <w:szCs w:val="14"/>
      </w:rPr>
    </w:pPr>
    <w:r>
      <w:rPr>
        <w:b w:val="0"/>
        <w:sz w:val="14"/>
        <w:szCs w:val="14"/>
      </w:rPr>
      <w:t xml:space="preserve">Campus Trindade – </w:t>
    </w:r>
    <w:proofErr w:type="spellStart"/>
    <w:r>
      <w:rPr>
        <w:b w:val="0"/>
        <w:sz w:val="14"/>
        <w:szCs w:val="14"/>
      </w:rPr>
      <w:t>PósARQ</w:t>
    </w:r>
    <w:proofErr w:type="spellEnd"/>
    <w:r>
      <w:rPr>
        <w:b w:val="0"/>
        <w:sz w:val="14"/>
        <w:szCs w:val="14"/>
      </w:rPr>
      <w:t>/CTC – Caixa Postal 476 – CEP: 88040-900 – Florianópolis (SC)</w:t>
    </w:r>
  </w:p>
  <w:p w:rsidR="00F91974" w:rsidRDefault="004D357B">
    <w:pPr>
      <w:pStyle w:val="Ttulo1"/>
      <w:rPr>
        <w:rFonts w:ascii="Arial" w:eastAsia="Arial" w:hAnsi="Arial" w:cs="Arial"/>
        <w:b w:val="0"/>
        <w:sz w:val="14"/>
        <w:szCs w:val="14"/>
      </w:rPr>
    </w:pPr>
    <w:hyperlink r:id="rId2">
      <w:r>
        <w:rPr>
          <w:b w:val="0"/>
          <w:color w:val="000080"/>
          <w:sz w:val="14"/>
          <w:szCs w:val="14"/>
          <w:u w:val="single"/>
        </w:rPr>
        <w:t>https://posarq.ufsc.br</w:t>
      </w:r>
    </w:hyperlink>
    <w:r>
      <w:rPr>
        <w:b w:val="0"/>
        <w:sz w:val="14"/>
        <w:szCs w:val="14"/>
      </w:rPr>
      <w:t xml:space="preserve"> – E-mail: </w:t>
    </w:r>
    <w:proofErr w:type="gramStart"/>
    <w:r>
      <w:rPr>
        <w:b w:val="0"/>
        <w:sz w:val="14"/>
        <w:szCs w:val="14"/>
      </w:rPr>
      <w:t>ppgarqurb@contato.ufsc.br  –</w:t>
    </w:r>
    <w:proofErr w:type="gramEnd"/>
    <w:r>
      <w:rPr>
        <w:b w:val="0"/>
        <w:sz w:val="14"/>
        <w:szCs w:val="14"/>
      </w:rPr>
      <w:t xml:space="preserve"> Tel.: (48) 3721-9797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74"/>
    <w:rsid w:val="004D357B"/>
    <w:rsid w:val="00634BC8"/>
    <w:rsid w:val="00F9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7F251-A9E8-4F83-8CBA-DB7C2B92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sarq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aTJUS0VUMvvEwocaTFCJMIAjkg==">CgMxLjA4AHIhMS1URDZoTDlqaUF3Q0lnSlpLa0ZELUNmcXNibHVyMUxf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2025-02-27T18:56:00Z</dcterms:created>
  <dcterms:modified xsi:type="dcterms:W3CDTF">2025-02-27T18:56:00Z</dcterms:modified>
</cp:coreProperties>
</file>